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DDC" w:rsidRPr="00631654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523"/>
        <w:gridCol w:w="3355"/>
        <w:gridCol w:w="707"/>
        <w:gridCol w:w="707"/>
        <w:gridCol w:w="823"/>
        <w:gridCol w:w="835"/>
        <w:gridCol w:w="3060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1E3079" w:rsidRDefault="00530DDC" w:rsidP="00420AA2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1E3079">
              <w:rPr>
                <w:b/>
                <w:sz w:val="24"/>
              </w:rPr>
              <w:t>STANDARD 1: Vedení a závazek</w:t>
            </w:r>
            <w:r w:rsidRPr="001E3079">
              <w:rPr>
                <w:b/>
              </w:rPr>
              <w:br/>
            </w:r>
            <w:r w:rsidRPr="001E3079">
              <w:rPr>
                <w:sz w:val="20"/>
              </w:rPr>
              <w:t xml:space="preserve">Zdravotnická organizace má jasné a silné vedení, které systematicky implementuje politiku nekuřáctví. 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0E2AF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0E2AF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1E3079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1E3079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1E3079" w:rsidRDefault="00530DDC" w:rsidP="00B6174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1E3079">
              <w:rPr>
                <w:b/>
                <w:sz w:val="18"/>
              </w:rPr>
              <w:t xml:space="preserve">ÚVAHA </w:t>
            </w:r>
            <w:r w:rsidRPr="001E3079">
              <w:rPr>
                <w:b/>
                <w:sz w:val="18"/>
              </w:rPr>
              <w:br/>
              <w:t xml:space="preserve">Shrnutí současného stavu </w:t>
            </w:r>
            <w:r w:rsidRPr="001E3079">
              <w:rPr>
                <w:b/>
                <w:sz w:val="18"/>
              </w:rPr>
              <w:br/>
            </w:r>
            <w:r w:rsidRPr="001E3079">
              <w:rPr>
                <w:i/>
                <w:sz w:val="16"/>
              </w:rPr>
              <w:t>(Popište současný stav pro každé kritérium implementace. Díky tomu získáte kontext pro plánované postupy na příštích 12 měsíců.)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654A3D" w:rsidRDefault="00530DDC" w:rsidP="007E6836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má jasné dokumenty upravující provádění standardů asociace Global.</w:t>
            </w:r>
          </w:p>
        </w:tc>
        <w:tc>
          <w:tcPr>
            <w:tcW w:w="846" w:type="pct"/>
          </w:tcPr>
          <w:p w:rsidR="00530DDC" w:rsidRPr="00654A3D" w:rsidRDefault="00530DDC" w:rsidP="007E6836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Dokumenty zdravotnické organizace ukazují závazek zajistit implementaci všech standardů asociace Global.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441E28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zakazuje přijímání sponzorských darů nebo financování od tabákového průmyslu i prodej tabákových výrobků a přidružených zařízení / e-cigaret.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zakazuje přijímání sponzorských darů a financování od tabákového průmyslu.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Zdravotnická organizace zakazuje prodej tabákových výrobků a přidružených zařízení / e-cigaret.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999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určuje jasnou odpovědnost za všechny úrovně a aspekty provádění stanovených zásad.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Odpovědnost za provádění politiky nekuřáctví nese vyšší vedoucí pracovník.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775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Odpovědnost je určen</w:t>
            </w:r>
            <w:r>
              <w:rPr>
                <w:sz w:val="18"/>
              </w:rPr>
              <w:t>a</w:t>
            </w:r>
            <w:r w:rsidRPr="00BD5250">
              <w:rPr>
                <w:sz w:val="18"/>
              </w:rPr>
              <w:t xml:space="preserve"> na všech úrovních a za všechny aspekty provádění stanovených zásad.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044"/>
        </w:trPr>
        <w:tc>
          <w:tcPr>
            <w:tcW w:w="973" w:type="pct"/>
            <w:vMerge w:val="restart"/>
          </w:tcPr>
          <w:p w:rsidR="00530DDC" w:rsidRPr="00654A3D" w:rsidRDefault="00530DDC" w:rsidP="00810C0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>Pracovněprávní dokumenty související se zaměstnáváním pracovníků (včetně subdodavatelských smluv a dokumentů s jinými agenturami, které působí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rámci dotyčné zdravotnické organizace) vyžadují od všech pracovníků závazek dodržovat politiku nekuřáctví dotyčné organizace.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Pracovněprávní dokumenty související se zaměstnáváním pracovníků vyžadují závazek zaměstnanců dodržovat politiku nekuřáctví dotyčné zdravotnické organizace. 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044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</w:p>
        </w:tc>
        <w:tc>
          <w:tcPr>
            <w:tcW w:w="846" w:type="pct"/>
          </w:tcPr>
          <w:p w:rsidR="00530DDC" w:rsidRPr="00BD5250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Dokumenty uzavřené se subdodavateli vyžadují, aby pracovníci dodržovali politiku nekuřáctví dotyčné zdravotnické organizace.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26"/>
        </w:trPr>
        <w:tc>
          <w:tcPr>
            <w:tcW w:w="973" w:type="pct"/>
            <w:vMerge w:val="restart"/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usiluje o odpovídající zastoupení s cílem vypracovat a provádět strategii a akční plán na základě interního auditu a výsledků sledování a hodnocení stanovených zásad.</w:t>
            </w:r>
          </w:p>
        </w:tc>
        <w:tc>
          <w:tcPr>
            <w:tcW w:w="846" w:type="pct"/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Realizační tým vypracovává a spravuje strategii a akční plán.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1219"/>
        </w:trPr>
        <w:tc>
          <w:tcPr>
            <w:tcW w:w="973" w:type="pct"/>
            <w:vMerge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46" w:type="pct"/>
          </w:tcPr>
          <w:p w:rsidR="00530DDC" w:rsidRPr="00BD5250" w:rsidRDefault="00530DDC" w:rsidP="00810C0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18"/>
              </w:rPr>
              <w:t>Strategie a akční plán prochází jednou ročně revizí s přihlédnutím k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výsledkům interního auditu a výsledkům monitorování a hodnocení.</w:t>
            </w:r>
          </w:p>
        </w:tc>
        <w:tc>
          <w:tcPr>
            <w:tcW w:w="1125" w:type="pct"/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496"/>
        </w:trPr>
        <w:tc>
          <w:tcPr>
            <w:tcW w:w="973" w:type="pct"/>
            <w:tcBorders>
              <w:bottom w:val="single" w:sz="12" w:space="0" w:color="auto"/>
            </w:tcBorders>
          </w:tcPr>
          <w:p w:rsidR="00530DDC" w:rsidRPr="00654A3D" w:rsidRDefault="00530DDC" w:rsidP="00A90BC5">
            <w:pPr>
              <w:numPr>
                <w:ilvl w:val="1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Zdravotnická organizace přiděluje lidské a finanční </w:t>
            </w:r>
            <w:r w:rsidRPr="00BD5250">
              <w:rPr>
                <w:sz w:val="18"/>
              </w:rPr>
              <w:lastRenderedPageBreak/>
              <w:t>zdroje nezbytné k zajištění veškerých aspektů provádění stanovených zásad.</w:t>
            </w:r>
          </w:p>
        </w:tc>
        <w:tc>
          <w:tcPr>
            <w:tcW w:w="846" w:type="pct"/>
            <w:tcBorders>
              <w:bottom w:val="single" w:sz="12" w:space="0" w:color="auto"/>
            </w:tcBorders>
          </w:tcPr>
          <w:p w:rsidR="00530DDC" w:rsidRPr="00654A3D" w:rsidRDefault="00530DDC" w:rsidP="00A90BC5">
            <w:pPr>
              <w:numPr>
                <w:ilvl w:val="2"/>
                <w:numId w:val="2"/>
              </w:numPr>
              <w:spacing w:before="6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lastRenderedPageBreak/>
              <w:t>F</w:t>
            </w:r>
            <w:r w:rsidRPr="00BD5250">
              <w:rPr>
                <w:sz w:val="18"/>
              </w:rPr>
              <w:t xml:space="preserve">inanční a lidské zdroje </w:t>
            </w:r>
            <w:r>
              <w:rPr>
                <w:sz w:val="18"/>
              </w:rPr>
              <w:t>j</w:t>
            </w:r>
            <w:r w:rsidRPr="00BD5250">
              <w:rPr>
                <w:sz w:val="18"/>
              </w:rPr>
              <w:t xml:space="preserve">sou </w:t>
            </w:r>
            <w:r w:rsidRPr="00BD5250">
              <w:rPr>
                <w:sz w:val="18"/>
              </w:rPr>
              <w:lastRenderedPageBreak/>
              <w:t>přidělov</w:t>
            </w:r>
            <w:r>
              <w:rPr>
                <w:sz w:val="18"/>
              </w:rPr>
              <w:t xml:space="preserve">ané </w:t>
            </w:r>
            <w:r w:rsidRPr="00BD5250">
              <w:rPr>
                <w:sz w:val="18"/>
              </w:rPr>
              <w:t>v souladu se strategií a akčním plánem.</w:t>
            </w:r>
          </w:p>
        </w:tc>
        <w:tc>
          <w:tcPr>
            <w:tcW w:w="1125" w:type="pct"/>
            <w:tcBorders>
              <w:bottom w:val="single" w:sz="12" w:space="0" w:color="auto"/>
            </w:tcBorders>
          </w:tcPr>
          <w:p w:rsidR="00530DDC" w:rsidRPr="00BD5250" w:rsidRDefault="00530DDC" w:rsidP="00A90BC5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lastRenderedPageBreak/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tcBorders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  <w:tcBorders>
              <w:bottom w:val="single" w:sz="12" w:space="0" w:color="auto"/>
            </w:tcBorders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7F4F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1: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E6255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>
      <w:pPr>
        <w:rPr>
          <w:rFonts w:cs="Arial"/>
          <w:sz w:val="20"/>
          <w:szCs w:val="20"/>
        </w:rPr>
      </w:pPr>
      <w:r>
        <w:rPr>
          <w:sz w:val="20"/>
        </w:rPr>
        <w:br w:type="page"/>
      </w: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517"/>
        <w:gridCol w:w="3352"/>
        <w:gridCol w:w="715"/>
        <w:gridCol w:w="715"/>
        <w:gridCol w:w="820"/>
        <w:gridCol w:w="832"/>
        <w:gridCol w:w="3061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2: Komunikace</w:t>
            </w:r>
            <w:r w:rsidRPr="00BD5250">
              <w:rPr>
                <w:b/>
                <w:color w:val="0D0D0D"/>
              </w:rPr>
              <w:br/>
            </w:r>
            <w:r w:rsidRPr="00BD5250">
              <w:rPr>
                <w:color w:val="0D0D0D"/>
                <w:sz w:val="20"/>
              </w:rPr>
              <w:t>Zdravotnická organizace má komplexní komunikační strategii na podporu informovanosti a implementace politiky nekuřáctví a služeb v oblasti odvykání kouření.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E004CC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Ke komunikaci politiky nekuřáctví dotyčné organizace a dostupnosti služeb souvisejících s odvykáním kouření jsou ve vztahu ke všem pracovníkům a subdodavatelům před začátkem pracovního poměru, během pracovního poměru a před začátkem používání a během používání subdodavatelů využívána interaktivní a cílená média.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pracovníci a subdodavatelé jsou informováni o politice nekuřáctví dotyčné zdravotnické organizace a o službách souvisejících s odvykáním kouření.</w:t>
            </w:r>
          </w:p>
        </w:tc>
        <w:tc>
          <w:tcPr>
            <w:tcW w:w="1125" w:type="pct"/>
          </w:tcPr>
          <w:p w:rsidR="00530DDC" w:rsidRPr="00BD5250" w:rsidRDefault="00530DDC" w:rsidP="00250DC1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Ke komunikaci politiky nekuřáctví dotyčné organizace a dostupnosti služeb souvisejících s odvykáním kouření jsou ve vztahu ke všem uživatelům služeb před přijetím a/nebo při přijetí do zařízení využívána interaktivní a cílená média. 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uživatelé služeb jsou informováni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politice nekuřáctví dotyčné organizace a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službách souvisejících s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9B53D8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5"/>
              </w:numPr>
              <w:spacing w:beforeLines="20" w:before="48" w:afterLines="20" w:after="48" w:line="240" w:lineRule="auto"/>
              <w:rPr>
                <w:rFonts w:cs="Calibri"/>
                <w:color w:val="0D0D0D"/>
                <w:sz w:val="18"/>
                <w:szCs w:val="16"/>
              </w:rPr>
            </w:pPr>
            <w:r w:rsidRPr="00BD5250">
              <w:rPr>
                <w:sz w:val="18"/>
              </w:rPr>
              <w:t>Ke komunikaci politiky nekuřáctví dotyčné organizace a dostupnosti služeb souvisejících s odvykáním kouření jsou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rámci příslušné komunity, včetně specifických cílových skupin, využívána interaktivní a cílená média.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5"/>
              </w:numPr>
              <w:spacing w:beforeLines="20" w:before="48" w:afterLines="20" w:after="48" w:line="240" w:lineRule="auto"/>
              <w:ind w:left="484" w:hanging="484"/>
              <w:rPr>
                <w:rFonts w:cs="Calibri"/>
                <w:color w:val="0D0D0D"/>
                <w:sz w:val="18"/>
                <w:szCs w:val="16"/>
              </w:rPr>
            </w:pPr>
            <w:r w:rsidRPr="00BD5250">
              <w:rPr>
                <w:sz w:val="18"/>
              </w:rPr>
              <w:t>Komunita, včetně specifických cílových skupin, je informována o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politice nekuřáctví dotyčné zdravotnické organizace a o službách souvisejících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250DC1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47157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2: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9)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2654"/>
        <w:gridCol w:w="3221"/>
        <w:gridCol w:w="707"/>
        <w:gridCol w:w="707"/>
        <w:gridCol w:w="823"/>
        <w:gridCol w:w="835"/>
        <w:gridCol w:w="3063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 xml:space="preserve">STANDARD 3: Vzdělávání a školení 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color w:val="0D0D0D"/>
                <w:sz w:val="20"/>
              </w:rPr>
              <w:t>Zdravotnická organizace zajišťuje řádné vzdělávání a školení pro klinický i ostatní personál.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810C05">
        <w:trPr>
          <w:trHeight w:val="60"/>
          <w:tblHeader/>
        </w:trPr>
        <w:tc>
          <w:tcPr>
            <w:tcW w:w="1863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080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tabs>
                <w:tab w:val="left" w:pos="990"/>
                <w:tab w:val="center" w:pos="1446"/>
              </w:tabs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Pro všechny pracovníky, včetně manažerů, jsou povinné informační porady a instruktáže.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3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Všichni pracovníci, včetně manažerů, se účastní informačních porad a instruktáží.  </w:t>
            </w:r>
          </w:p>
        </w:tc>
        <w:tc>
          <w:tcPr>
            <w:tcW w:w="1080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Zdravotnická organizace zajišťuje, aby všichni pracovníci byli informováni o 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přistupovat ke kuřákům a uživatelům přidružených zařízení / e-cigaret, včetně návštěvníků, a informovat je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politice nekuřáctví a o službách souvisejících s odvykáním kouření.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pracovníci byli instruováni o 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přistupovat ke kuřákům a uživatelům přidružených zařízení / e-cigaret a informovat je o politice zásadách týkajících se kouření a tabáku a o službách souvisejících s odvykáním kouření.</w:t>
            </w:r>
          </w:p>
        </w:tc>
        <w:tc>
          <w:tcPr>
            <w:tcW w:w="1080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b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Všichni kliničtí pracovníci jsou proškoleni v</w:t>
            </w:r>
            <w:r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tom</w:t>
            </w:r>
            <w:r>
              <w:rPr>
                <w:color w:val="0D0D0D"/>
                <w:sz w:val="18"/>
              </w:rPr>
              <w:t>,</w:t>
            </w:r>
            <w:r w:rsidRPr="00BD5250">
              <w:rPr>
                <w:color w:val="0D0D0D"/>
                <w:sz w:val="18"/>
              </w:rPr>
              <w:t xml:space="preserve"> jak poskytovat stručná doporučení a vhodnou péči, pokud jde o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návyk/závislost na tabáku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souladu s osvědčenými postupy, které jsou výsledkem výzkumu.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 xml:space="preserve">Všichni kliničtí pracovníci jsou proškoleni </w:t>
            </w:r>
            <w:r>
              <w:rPr>
                <w:color w:val="0D0D0D"/>
                <w:sz w:val="18"/>
              </w:rPr>
              <w:t xml:space="preserve">v tom, </w:t>
            </w:r>
            <w:r w:rsidRPr="00BD5250">
              <w:rPr>
                <w:color w:val="0D0D0D"/>
                <w:sz w:val="18"/>
              </w:rPr>
              <w:t>jak stručně poradit a motivovat kuřáky a uživatele přidružených zařízení / e-cigaret k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tomu, aby přestali kouřit, resp. taková přidružená zařízení</w:t>
            </w:r>
            <w:r>
              <w:rPr>
                <w:color w:val="0D0D0D"/>
                <w:sz w:val="18"/>
              </w:rPr>
              <w:t xml:space="preserve"> /</w:t>
            </w:r>
            <w:r w:rsidRPr="00BD5250">
              <w:rPr>
                <w:color w:val="0D0D0D"/>
                <w:sz w:val="18"/>
              </w:rPr>
              <w:t xml:space="preserve">  </w:t>
            </w:r>
            <w:r>
              <w:rPr>
                <w:color w:val="0D0D0D"/>
                <w:sz w:val="18"/>
              </w:rPr>
              <w:t>e-</w:t>
            </w:r>
            <w:r w:rsidRPr="00BD5250">
              <w:rPr>
                <w:color w:val="0D0D0D"/>
                <w:sz w:val="18"/>
              </w:rPr>
              <w:t xml:space="preserve">cigarety používat. </w:t>
            </w:r>
          </w:p>
        </w:tc>
        <w:tc>
          <w:tcPr>
            <w:tcW w:w="1080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6"/>
                <w:szCs w:val="16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12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Klíčoví kliničtí pracovníci jsou proškoleni v postupech motivujících k odvykání kouření v souladu s osvědčenými postupy, které jsou výsledkem výzkumu.</w:t>
            </w:r>
          </w:p>
        </w:tc>
        <w:tc>
          <w:tcPr>
            <w:tcW w:w="890" w:type="pct"/>
          </w:tcPr>
          <w:p w:rsidR="00530DDC" w:rsidRPr="00BD5250" w:rsidRDefault="00530DDC" w:rsidP="00810C05">
            <w:pPr>
              <w:numPr>
                <w:ilvl w:val="2"/>
                <w:numId w:val="12"/>
              </w:numPr>
              <w:spacing w:beforeLines="20" w:before="48" w:afterLines="20" w:after="48" w:line="240" w:lineRule="auto"/>
              <w:ind w:left="513" w:hanging="513"/>
              <w:rPr>
                <w:rFonts w:cs="Arial"/>
                <w:b/>
                <w:color w:val="0D0D0D"/>
                <w:sz w:val="18"/>
                <w:szCs w:val="16"/>
              </w:rPr>
            </w:pPr>
            <w:r w:rsidRPr="00BD5250">
              <w:rPr>
                <w:color w:val="0D0D0D"/>
                <w:sz w:val="18"/>
              </w:rPr>
              <w:t>Klíčoví kliničtí pracovníci jsou proškoleni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postupech motivujících k odvykání kouření v</w:t>
            </w:r>
            <w:r w:rsidR="00810C05">
              <w:rPr>
                <w:color w:val="0D0D0D"/>
                <w:sz w:val="18"/>
              </w:rPr>
              <w:t> </w:t>
            </w:r>
            <w:r w:rsidRPr="00BD5250">
              <w:rPr>
                <w:color w:val="0D0D0D"/>
                <w:sz w:val="18"/>
              </w:rPr>
              <w:t>souladu s osvědčenými postupy, které jsou výsledkem výzkumu.</w:t>
            </w:r>
          </w:p>
        </w:tc>
        <w:tc>
          <w:tcPr>
            <w:tcW w:w="1080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6"/>
                <w:szCs w:val="16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4806B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lastRenderedPageBreak/>
              <w:t xml:space="preserve">Mezisoučet skóre pro Standard 3: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2931"/>
        <w:gridCol w:w="2657"/>
        <w:gridCol w:w="715"/>
        <w:gridCol w:w="715"/>
        <w:gridCol w:w="820"/>
        <w:gridCol w:w="833"/>
        <w:gridCol w:w="3064"/>
      </w:tblGrid>
      <w:tr w:rsidR="00530DDC" w:rsidRPr="00BD5250" w:rsidTr="00B8546C">
        <w:trPr>
          <w:trHeight w:val="574"/>
          <w:tblHeader/>
        </w:trPr>
        <w:tc>
          <w:tcPr>
            <w:tcW w:w="2942" w:type="pct"/>
            <w:gridSpan w:val="3"/>
            <w:vAlign w:val="center"/>
          </w:tcPr>
          <w:p w:rsidR="00530DDC" w:rsidRPr="00907E12" w:rsidRDefault="00530DDC" w:rsidP="008C548C">
            <w:pPr>
              <w:rPr>
                <w:sz w:val="20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4: Identifikace, diagnostika a podpora odvykání kouření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sz w:val="20"/>
              </w:rPr>
              <w:t>Zdravotnická organizace identifikuje všechny uživatele tabáku a poskytuje vhodnou péči v souladu s mezinárodními osvědčenými postupy a národními standardy.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C548C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8" w:type="pct"/>
          </w:tcPr>
          <w:p w:rsidR="00530DDC" w:rsidRPr="00654A3D" w:rsidRDefault="00530DDC" w:rsidP="008C548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810C05">
        <w:trPr>
          <w:trHeight w:val="60"/>
          <w:tblHeader/>
        </w:trPr>
        <w:tc>
          <w:tcPr>
            <w:tcW w:w="2050" w:type="pct"/>
            <w:gridSpan w:val="2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892" w:type="pct"/>
          </w:tcPr>
          <w:p w:rsidR="00530DDC" w:rsidRPr="00654A3D" w:rsidRDefault="00530DDC" w:rsidP="009C0A14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8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zavedla systematický postup pro zjištění, diagnostikování a zdokumentování stavu návyku/závislosti na tabáku u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uživatelů služeb (včetně uživatelů přidružených zařízení / e-cigaret).</w:t>
            </w:r>
          </w:p>
        </w:tc>
        <w:tc>
          <w:tcPr>
            <w:tcW w:w="984" w:type="pct"/>
          </w:tcPr>
          <w:p w:rsidR="00530DDC" w:rsidRPr="00654A3D" w:rsidRDefault="00530DDC" w:rsidP="00810C05">
            <w:pPr>
              <w:numPr>
                <w:ilvl w:val="2"/>
                <w:numId w:val="17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kuřáci/uživatelé přidružených zařízení / e-cigaret jsou systematicky identifikováni a jejich návyk/závislost jsou diagnostikovány a zdokumentovány.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zavedla systematický postup umožňující identifikovat a zdokumentovat veškeré uživatele služeb, včetně dětí a těhotných žen, kteří byli vystaveni pasivnímu kouření/výparům z e-cigaret.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uživatelé služeb vystavení pasivnímu kouření/výparům z e-cigaret jsou identifikováni a zdokumentováni.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Informace o riziku souvisejícím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užíváním tabáku (včetně používání přidružených zařízení / e-cigaret) a o metodách odvykání kouření jsou široce dostupné všem uživatelům služeb.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Informace o riziku souvisejícím s užíváním tabáku (včetně používání přidružených zařízení / e-cigaret) a o metodách odvykání kouření jsou široce dostupné.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  <w:vMerge w:val="restart"/>
          </w:tcPr>
          <w:p w:rsidR="00530DDC" w:rsidRPr="00BD5250" w:rsidRDefault="00530DDC" w:rsidP="00810C05">
            <w:pPr>
              <w:pStyle w:val="ListParagraph"/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8"/>
              </w:rPr>
            </w:pPr>
            <w:r w:rsidRPr="00BD5250">
              <w:rPr>
                <w:sz w:val="18"/>
              </w:rPr>
              <w:t>Všichni identifikovaní kuřáci a uživatelé přidružených zařízení / e-cigaret obdrželi stručné doporučení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osvědčenými postupy, které jsou výsledkem výzkumu. 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 a uživatelé přidružených zařízení / e-cigaret obdrželi stručné doporučení v souladu s osvědčenými postupy, které jsou výsledkem výzkumu.</w:t>
            </w:r>
          </w:p>
        </w:tc>
        <w:tc>
          <w:tcPr>
            <w:tcW w:w="892" w:type="pct"/>
          </w:tcPr>
          <w:p w:rsidR="00530DDC" w:rsidRPr="00A74B91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2"/>
                <w:szCs w:val="12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  <w:vMerge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color w:val="0D0D0D"/>
                <w:sz w:val="18"/>
                <w:szCs w:val="18"/>
              </w:rPr>
            </w:pP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Jsou zdokumentované veškeré zásahy motivující kuřáky a k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tomu, aby přestali kouřit.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 xml:space="preserve">Plán zdravotní péče pro jednotlivé uživatele služeb identifikuje a naplňuje potřeby kuřáků a uživatelů přidružených zařízení / e-cigaret a osob vystavených pasivnímu kouření / výparům z e-cigaret. </w:t>
            </w:r>
          </w:p>
        </w:tc>
        <w:tc>
          <w:tcPr>
            <w:tcW w:w="984" w:type="pct"/>
          </w:tcPr>
          <w:p w:rsidR="00530DDC" w:rsidRPr="00654A3D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 plánu zdravotní péče jsou identifikované a zdokumentované potřeby kuřáků a uživ</w:t>
            </w:r>
            <w:r w:rsidR="00810C05">
              <w:rPr>
                <w:sz w:val="18"/>
              </w:rPr>
              <w:t>atelů přidružených zařízení /e- </w:t>
            </w:r>
            <w:r w:rsidRPr="00BD5250">
              <w:rPr>
                <w:sz w:val="18"/>
              </w:rPr>
              <w:t>cigaret a osob vystavených pasivnímu kouření / výparům z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e-cigaret. 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BD5250">
              <w:rPr>
                <w:sz w:val="18"/>
              </w:rPr>
              <w:t>Zdravotnická organizace má službu odvykání kouření nebo systém umožňující odkázat na službu, která nabízí léčbu návyku/závislosti na tabáku v souladu s osvědčenými postupy, které jsou výsledkem výzkumu.</w:t>
            </w:r>
          </w:p>
        </w:tc>
        <w:tc>
          <w:tcPr>
            <w:tcW w:w="984" w:type="pct"/>
          </w:tcPr>
          <w:p w:rsidR="00810C05" w:rsidRPr="00810C05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Všichni kuřáci a uživatelé přidružených zařízení /</w:t>
            </w:r>
          </w:p>
          <w:p w:rsidR="00530DDC" w:rsidRPr="00BD5250" w:rsidRDefault="00530DDC" w:rsidP="00810C05">
            <w:pPr>
              <w:spacing w:beforeLines="20" w:before="48" w:afterLines="20" w:after="48" w:line="240" w:lineRule="auto"/>
              <w:ind w:left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 e-cigaret mají přístup k</w:t>
            </w:r>
            <w:r>
              <w:rPr>
                <w:sz w:val="18"/>
              </w:rPr>
              <w:t>e</w:t>
            </w:r>
            <w:r w:rsidRPr="00BD5250">
              <w:rPr>
                <w:sz w:val="18"/>
              </w:rPr>
              <w:t xml:space="preserve"> službě související s odvykáním kouření, která nabízí léčbu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souladu s osvědčenými postupy, které jsou výsledkem výzkumu. </w:t>
            </w:r>
          </w:p>
        </w:tc>
        <w:tc>
          <w:tcPr>
            <w:tcW w:w="892" w:type="pct"/>
          </w:tcPr>
          <w:p w:rsidR="00530DDC" w:rsidRPr="007A0392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 xml:space="preserve">Služba související s odvykáním kouření zohledňuje požadavky související s léčbou různých skupin uživatelů služeb (tj. těhotenství, před operací, duševní nemoc, zdravotní postižení) v souladu s osvědčenými postupy, které jsou výsledkem výzkumu.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Služba související s odvykáním kouření řeší potřeby různých skupin uživatelů této služby prostřednictvím specifických směrnic nebo protokolů upravujících léčbu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osvědčenými postupy, které jsou výsledkem výzkumu.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Je k dispozici farmakologická podpora léčby návyku/závislosti na tabáku v souladu s osvědčenými postupy, které jsou výsledkem výzkumu</w:t>
            </w:r>
            <w:r w:rsidRPr="00BD5250">
              <w:rPr>
                <w:color w:val="833C0B"/>
                <w:sz w:val="18"/>
              </w:rPr>
              <w:t>.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Kuřákům je k dispozici farmakologická podpora v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 xml:space="preserve">souladu s osvědčenými postupy, které jsou výsledkem výzkumu. 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66" w:type="pct"/>
          </w:tcPr>
          <w:p w:rsidR="00530DDC" w:rsidRPr="00BD5250" w:rsidRDefault="00530DDC" w:rsidP="00810C05">
            <w:pPr>
              <w:numPr>
                <w:ilvl w:val="1"/>
                <w:numId w:val="16"/>
              </w:numPr>
              <w:tabs>
                <w:tab w:val="left" w:pos="0"/>
                <w:tab w:val="left" w:pos="420"/>
                <w:tab w:val="left" w:pos="1080"/>
              </w:tabs>
              <w:spacing w:beforeLines="20" w:before="48" w:afterLines="20" w:after="48" w:line="240" w:lineRule="auto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lastRenderedPageBreak/>
              <w:t xml:space="preserve">Služba související s odvykáním kouření používaná dotyčnou organizací provádí následnou kontrolu a monitorování uživatelů této služby v souladu s osvědčenými postupy, které jsou výsledkem výzkumu. </w:t>
            </w:r>
          </w:p>
        </w:tc>
        <w:tc>
          <w:tcPr>
            <w:tcW w:w="984" w:type="pct"/>
          </w:tcPr>
          <w:p w:rsidR="00530DDC" w:rsidRPr="00BD5250" w:rsidRDefault="00530DDC" w:rsidP="00810C05">
            <w:pPr>
              <w:numPr>
                <w:ilvl w:val="2"/>
                <w:numId w:val="16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8"/>
              </w:rPr>
            </w:pPr>
            <w:r w:rsidRPr="00BD5250">
              <w:rPr>
                <w:sz w:val="18"/>
              </w:rPr>
              <w:t>Služba související s odvykáním kouření má postup pro následnou kontrolu a monitorování uživatelů této služby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osvědčenými postupy, které jsou výsledkem výzkumu.</w:t>
            </w:r>
          </w:p>
        </w:tc>
        <w:tc>
          <w:tcPr>
            <w:tcW w:w="892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8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2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C90EAB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4: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30)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8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9C0A14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2383"/>
        <w:gridCol w:w="3355"/>
        <w:gridCol w:w="707"/>
        <w:gridCol w:w="707"/>
        <w:gridCol w:w="823"/>
        <w:gridCol w:w="835"/>
        <w:gridCol w:w="3063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</w:rPr>
              <w:lastRenderedPageBreak/>
              <w:t xml:space="preserve">STANDARD 5: Nekuřácké prostředí </w:t>
            </w:r>
            <w:r w:rsidRPr="00BD5250">
              <w:rPr>
                <w:b/>
                <w:color w:val="0D0D0D"/>
              </w:rPr>
              <w:br/>
            </w:r>
            <w:r w:rsidRPr="00BD5250">
              <w:rPr>
                <w:sz w:val="20"/>
              </w:rPr>
              <w:t>Zdravotnická organizace má zaveden</w:t>
            </w:r>
            <w:r>
              <w:rPr>
                <w:sz w:val="20"/>
              </w:rPr>
              <w:t>é</w:t>
            </w:r>
            <w:r w:rsidRPr="00BD5250">
              <w:rPr>
                <w:sz w:val="20"/>
              </w:rPr>
              <w:t xml:space="preserve"> strategie za účelem dosažení nekuřáckého prostředí.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 Budovy zdravotnické organizace jsou zcela nekuřácké (včetně zákazu používání přidružených zařízení / e-cigaret).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3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Všechny budovy organizace jsou zcela nekuřácké (včetně zákazu používání přidružených zařízení / e-cigaret). </w:t>
            </w:r>
          </w:p>
          <w:p w:rsidR="00530DDC" w:rsidRPr="00BD5250" w:rsidRDefault="00530DDC" w:rsidP="00810C05">
            <w:pPr>
              <w:spacing w:beforeLines="20" w:before="48" w:afterLines="20" w:after="48"/>
              <w:ind w:left="484"/>
              <w:rPr>
                <w:rFonts w:cs="Arial"/>
                <w:sz w:val="18"/>
                <w:szCs w:val="16"/>
              </w:rPr>
            </w:pPr>
          </w:p>
        </w:tc>
        <w:tc>
          <w:tcPr>
            <w:tcW w:w="1125" w:type="pct"/>
          </w:tcPr>
          <w:p w:rsidR="00530DDC" w:rsidRPr="009F6491" w:rsidRDefault="00530DDC" w:rsidP="00810C05">
            <w:pPr>
              <w:pStyle w:val="CommentText"/>
              <w:spacing w:beforeLines="20" w:before="48" w:afterLines="20" w:after="48"/>
              <w:rPr>
                <w:rFonts w:ascii="Arial" w:hAnsi="Arial" w:cs="Arial"/>
                <w:color w:val="0D0D0D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Prostory a dopravní systémy zdravotnické organizace jsou zcela nekuřácké (včetně zákazu používání přidružených zařízení / e-cigaret).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Veškeré prostory a dopravní systémy organizace jsou zcela nekuřácké (včetně zákazu používání přidružených zařízení / e-cigaret).</w:t>
            </w:r>
          </w:p>
        </w:tc>
        <w:tc>
          <w:tcPr>
            <w:tcW w:w="1125" w:type="pct"/>
          </w:tcPr>
          <w:p w:rsidR="00530DDC" w:rsidRPr="00BD5250" w:rsidRDefault="00530DDC" w:rsidP="00A237F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jasné a jednoznačné značení, které určuje zakázané produkty a identifikuje nekuřácký prostor v budovách a prostorách.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Značení identifikuje zakázané produkty a hranice nekuřáckých prostor v budovách a prostorách.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zakazuje kdekoli v rámci organizace prodej tabákových výrobků a přidružených zařízení / e-cigaret, jejich distribuci a reklamu na ně.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 rámci organizace neprobíhá prodej cigaret, tabáku a přidružených zařízení / e-cigaret, jejich distribuce ani reklama na takové produkty.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20"/>
                <w:szCs w:val="20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 xml:space="preserve">Zdravotnická organizace zavedla postup zajišťující, aby žádní uživatelé služeb, pracovníci a návštěvníci nebyli v nekuřáckých prostorách za žádných okolností </w:t>
            </w:r>
            <w:r w:rsidRPr="00BD5250">
              <w:rPr>
                <w:sz w:val="18"/>
              </w:rPr>
              <w:lastRenderedPageBreak/>
              <w:t>vystaveni pasivnímu kouření/výparům z e-cigaret.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lastRenderedPageBreak/>
              <w:t>Existuje postup evidence a prevence pasivního kouření/vystavení výparům z e-cigaret.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Všechny mimořádné situace související s kouřením a používáním tabáku uživateli služeb jsou řízen</w:t>
            </w:r>
            <w:r>
              <w:rPr>
                <w:sz w:val="18"/>
              </w:rPr>
              <w:t>é</w:t>
            </w:r>
            <w:r w:rsidRPr="00BD5250">
              <w:rPr>
                <w:sz w:val="18"/>
              </w:rPr>
              <w:t xml:space="preserve"> na základě postupu, který je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denormalizací kouření a užívání tabáku.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Všechny mimořádné situace jsou řízen</w:t>
            </w:r>
            <w:r>
              <w:rPr>
                <w:sz w:val="18"/>
              </w:rPr>
              <w:t>é</w:t>
            </w:r>
            <w:r w:rsidRPr="00BD5250">
              <w:rPr>
                <w:sz w:val="18"/>
              </w:rPr>
              <w:t xml:space="preserve"> na základě postupu, který je v souladu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denormalizací kouření a užívání tabáku.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810C05">
        <w:trPr>
          <w:trHeight w:val="802"/>
        </w:trPr>
        <w:tc>
          <w:tcPr>
            <w:tcW w:w="1019" w:type="pct"/>
          </w:tcPr>
          <w:p w:rsidR="00530DDC" w:rsidRPr="00BD5250" w:rsidRDefault="00530DDC" w:rsidP="00810C05">
            <w:pPr>
              <w:numPr>
                <w:ilvl w:val="1"/>
                <w:numId w:val="22"/>
              </w:numPr>
              <w:spacing w:beforeLines="20" w:before="48" w:afterLines="20" w:after="48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zavedla postup umožňující zdokumentovat a řídit případné porušení zásad, včetně incidentů, při kterých jsou pracovníci, uživatelé služeb nebo veřejnost vystaveni pasivnímu kouření/výparům z e-cigaret.</w:t>
            </w:r>
          </w:p>
        </w:tc>
        <w:tc>
          <w:tcPr>
            <w:tcW w:w="799" w:type="pct"/>
          </w:tcPr>
          <w:p w:rsidR="00530DDC" w:rsidRPr="00BD5250" w:rsidRDefault="00530DDC" w:rsidP="00810C05">
            <w:pPr>
              <w:numPr>
                <w:ilvl w:val="2"/>
                <w:numId w:val="22"/>
              </w:numPr>
              <w:spacing w:beforeLines="20" w:before="48" w:afterLines="20" w:after="48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Je zaveden postup evidence všech incidentů a řízení všech porušení stanovených zásad.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color w:val="0D0D0D"/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D23DE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5: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21)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2517"/>
        <w:gridCol w:w="3352"/>
        <w:gridCol w:w="715"/>
        <w:gridCol w:w="715"/>
        <w:gridCol w:w="820"/>
        <w:gridCol w:w="832"/>
        <w:gridCol w:w="3061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BD5250" w:rsidRDefault="00530DDC" w:rsidP="00810C05">
            <w:pPr>
              <w:spacing w:beforeLines="20" w:before="48" w:afterLines="20" w:after="48"/>
              <w:rPr>
                <w:rFonts w:cs="Arial"/>
                <w:b/>
                <w:sz w:val="24"/>
                <w:szCs w:val="16"/>
              </w:rPr>
            </w:pPr>
            <w:r w:rsidRPr="00BD5250">
              <w:rPr>
                <w:b/>
                <w:color w:val="0D0D0D"/>
                <w:sz w:val="24"/>
              </w:rPr>
              <w:t xml:space="preserve">STANDARD 6: Zdravé pracoviště </w:t>
            </w:r>
          </w:p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sz w:val="20"/>
              </w:rPr>
              <w:t xml:space="preserve">Zdravotnická organizace </w:t>
            </w:r>
            <w:r w:rsidRPr="00DB12BA">
              <w:rPr>
                <w:sz w:val="20"/>
              </w:rPr>
              <w:t xml:space="preserve">má </w:t>
            </w:r>
            <w:r w:rsidRPr="004725C5">
              <w:rPr>
                <w:sz w:val="20"/>
              </w:rPr>
              <w:t>politiku</w:t>
            </w:r>
            <w:r w:rsidRPr="00BD5250">
              <w:rPr>
                <w:sz w:val="20"/>
              </w:rPr>
              <w:t xml:space="preserve"> řízení lidských zdrojů a podpůrné systémy, jež chrání a podporují zdraví každého, kdo v organizaci pracuje.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A237F0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komplexní program propagace zdraví na pracovišti.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  <w:lang w:val="en-IE"/>
              </w:rPr>
            </w:pPr>
            <w:r w:rsidRPr="00BD5250">
              <w:rPr>
                <w:sz w:val="16"/>
              </w:rPr>
              <w:t>Zdravotnická organizace má komplexní program propagace zdraví na pracovišti.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zásady, které zdůrazňují proaktivní a příkladnou roli pracovníků při provádění a podporování politiky nekuřáckého pracoviště.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sz w:val="16"/>
                <w:szCs w:val="16"/>
              </w:rPr>
            </w:pPr>
            <w:r w:rsidRPr="00BD5250">
              <w:rPr>
                <w:sz w:val="16"/>
              </w:rPr>
              <w:t xml:space="preserve">Zásady organizace popisují proaktivní a příkladnou roli pracovníků při provádění a podporování politiky nekuřáckého pracoviště.  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zavedla postup pro zjištění a evidenci zdravotního stavu pracovníků (včetně kouření a používání přidružených zařízení / e-cigaret); a podle potřeby nabízí odpovídající pomoc, podporu a léčbu.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Je zaveden proces umožňující identifikovat a motivovat kuřáky a uživatele přidružených zařízení / e-cigaret k tomu, aby přestali kouřit, resp. taková přidružená zařízení / e-cigarety používat.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má službu odvykání kouření nebo přímý přístup k takové službě tak, aby mohla kuřákům a uživatelům tabáku mezi zaměstnanci pomáhat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kouřením přestat.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Pracovníci mají přístup ke službě související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odvykáním kouření.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973" w:type="pct"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zavedla v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rámci existujících disciplinárních opatření jasný postup pro řešení případů, kdy pracovníci nedodržují stanovené zásady.</w:t>
            </w:r>
          </w:p>
        </w:tc>
        <w:tc>
          <w:tcPr>
            <w:tcW w:w="845" w:type="pct"/>
          </w:tcPr>
          <w:p w:rsidR="00530DDC" w:rsidRPr="00BD5250" w:rsidRDefault="00530DDC" w:rsidP="00810C05">
            <w:pPr>
              <w:numPr>
                <w:ilvl w:val="2"/>
                <w:numId w:val="24"/>
              </w:numPr>
              <w:spacing w:beforeLines="20" w:before="48" w:afterLines="20" w:after="48" w:line="240" w:lineRule="auto"/>
              <w:ind w:left="483" w:hanging="483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Nedodržování zásad je řešeno v souladu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existujícími místními disciplinárními postupy.</w:t>
            </w:r>
          </w:p>
        </w:tc>
        <w:tc>
          <w:tcPr>
            <w:tcW w:w="1125" w:type="pct"/>
          </w:tcPr>
          <w:p w:rsidR="00530DDC" w:rsidRPr="00BD5250" w:rsidRDefault="00530DDC" w:rsidP="008D744D">
            <w:pPr>
              <w:rPr>
                <w:rFonts w:cs="Arial"/>
                <w:sz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E0119A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6: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A237F0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797"/>
        <w:gridCol w:w="3355"/>
        <w:gridCol w:w="707"/>
        <w:gridCol w:w="707"/>
        <w:gridCol w:w="823"/>
        <w:gridCol w:w="835"/>
        <w:gridCol w:w="3063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BD5250" w:rsidRDefault="00530DDC" w:rsidP="00810C05">
            <w:pPr>
              <w:spacing w:beforeLines="20" w:before="48" w:afterLines="20" w:after="48"/>
              <w:rPr>
                <w:rFonts w:cs="Arial"/>
                <w:b/>
                <w:sz w:val="18"/>
                <w:szCs w:val="16"/>
              </w:rPr>
            </w:pPr>
            <w:r w:rsidRPr="00BD5250">
              <w:rPr>
                <w:b/>
                <w:color w:val="0D0D0D"/>
                <w:sz w:val="24"/>
              </w:rPr>
              <w:t>STANDARD 7: Angažovanost komunity</w:t>
            </w:r>
          </w:p>
          <w:p w:rsidR="00530DDC" w:rsidRPr="00654A3D" w:rsidRDefault="00530DDC" w:rsidP="00810C05">
            <w:pPr>
              <w:spacing w:beforeLines="20" w:before="48" w:afterLines="20" w:after="48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sz w:val="20"/>
              </w:rPr>
              <w:t>Zdravotnická organizace přispívá a podporuje regulaci/prevenci tabáku v rámci místní komunity podle Rámcové úmluvy Světové zdravotnické organizace o kontrole tabáku a/nebo národní strategie veřejného zdraví</w:t>
            </w:r>
            <w:r>
              <w:rPr>
                <w:sz w:val="20"/>
              </w:rPr>
              <w:t>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příslušné komunity a dalšími organizacemi s cílem podpořit místní, národní a mezinárodní aktivity související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nekuřáctvím a přispět k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realizaci takových aktivit.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příslušné komunity a dalšími organizacemi s cílem podpořit národní a mezinárodní aktivity související s nekuřáctvím a přispět k realizaci takových aktivit.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810C05" w:rsidRPr="00810C05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spolupracuje s partnery z příslušné komunity s cílem vést a podpořit kuřáky a uživatele přidružených zařízení /</w:t>
            </w:r>
          </w:p>
          <w:p w:rsidR="00530DDC" w:rsidRPr="00BD5250" w:rsidDel="00400DC3" w:rsidRDefault="00530DDC" w:rsidP="00810C05">
            <w:pPr>
              <w:spacing w:beforeLines="20" w:before="48" w:afterLines="20" w:after="48" w:line="240" w:lineRule="auto"/>
              <w:ind w:left="360"/>
              <w:rPr>
                <w:rFonts w:cs="Arial"/>
                <w:sz w:val="16"/>
                <w:szCs w:val="16"/>
              </w:rPr>
            </w:pPr>
            <w:r w:rsidRPr="00BD5250">
              <w:rPr>
                <w:sz w:val="16"/>
              </w:rPr>
              <w:t>e-cigaret k tomu, aby přestali kouřit, resp. taková přidružená zařízení / e-cigarety používat; zohledňuje potřeby specifických cílových skupin (žen, dospívajících, migrantů, znevýhodněných a jiných kulturních skupin).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>Organizace spolupracuje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partnery z příslušné komunity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cílem vést a podpořit kuřáky a uživatele přidružených zařízení / e-cigaret k tomu, aby přestali kouřit, resp. taková přidružená zařízení / e-cigarety používat.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Organizace spolupracuje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partnery z příslušné komunity s</w:t>
            </w:r>
            <w:r w:rsidR="00810C05">
              <w:rPr>
                <w:sz w:val="16"/>
              </w:rPr>
              <w:t> </w:t>
            </w:r>
            <w:r w:rsidRPr="00BD5250">
              <w:rPr>
                <w:sz w:val="16"/>
              </w:rPr>
              <w:t>cílem řešit potřeby specifických cílových skupin (žen, dospívajících, migrantů, znevýhodněných a jiných kulturních skupin).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rPr>
                <w:sz w:val="16"/>
                <w:szCs w:val="16"/>
              </w:rPr>
            </w:pPr>
            <w:r w:rsidRPr="00BD5250">
              <w:rPr>
                <w:sz w:val="16"/>
              </w:rPr>
              <w:t>Zdravotnická organizace sdílí osvědčené postupy ve snaze podpořit ostatní, pokud jde o</w:t>
            </w:r>
            <w:r w:rsidR="00810C05">
              <w:rPr>
                <w:sz w:val="16"/>
              </w:rPr>
              <w:t> v</w:t>
            </w:r>
            <w:r w:rsidRPr="00BD5250">
              <w:rPr>
                <w:sz w:val="16"/>
              </w:rPr>
              <w:t>ytváření a zavádění politiky nekuřáctví.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5"/>
              </w:numPr>
              <w:spacing w:beforeLines="20" w:before="48" w:afterLines="20" w:after="48" w:line="240" w:lineRule="auto"/>
              <w:ind w:left="484" w:hanging="484"/>
              <w:rPr>
                <w:color w:val="FF0000"/>
                <w:sz w:val="16"/>
                <w:szCs w:val="16"/>
              </w:rPr>
            </w:pPr>
            <w:r w:rsidRPr="00BD5250">
              <w:rPr>
                <w:sz w:val="16"/>
              </w:rPr>
              <w:t xml:space="preserve">Zdravotnická organizace sdílí osvědčené postupy, pokud jde </w:t>
            </w:r>
            <w:r w:rsidR="00810C05">
              <w:rPr>
                <w:sz w:val="16"/>
              </w:rPr>
              <w:t>o </w:t>
            </w:r>
            <w:r w:rsidRPr="00BD5250">
              <w:rPr>
                <w:sz w:val="16"/>
              </w:rPr>
              <w:t>vytváření a zavádění politiky nekuřáctví.</w:t>
            </w:r>
          </w:p>
        </w:tc>
        <w:tc>
          <w:tcPr>
            <w:tcW w:w="1125" w:type="pct"/>
          </w:tcPr>
          <w:p w:rsidR="00530DDC" w:rsidRPr="00BD5250" w:rsidRDefault="00530DDC" w:rsidP="00810C05">
            <w:pPr>
              <w:spacing w:beforeLines="20" w:before="48" w:afterLines="20" w:after="48"/>
              <w:rPr>
                <w:sz w:val="18"/>
                <w:szCs w:val="18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840A32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FE172C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7: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12)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Default="00530DDC" w:rsidP="00631654">
      <w:pPr>
        <w:spacing w:after="120" w:line="240" w:lineRule="auto"/>
        <w:rPr>
          <w:rFonts w:cs="Arial"/>
          <w:sz w:val="20"/>
          <w:szCs w:val="20"/>
        </w:rPr>
        <w:sectPr w:rsidR="00530DDC" w:rsidSect="00DE580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48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797"/>
        <w:gridCol w:w="3355"/>
        <w:gridCol w:w="707"/>
        <w:gridCol w:w="707"/>
        <w:gridCol w:w="823"/>
        <w:gridCol w:w="835"/>
        <w:gridCol w:w="3063"/>
      </w:tblGrid>
      <w:tr w:rsidR="00530DDC" w:rsidRPr="00BD5250" w:rsidTr="00B8546C">
        <w:trPr>
          <w:trHeight w:val="574"/>
          <w:tblHeader/>
        </w:trPr>
        <w:tc>
          <w:tcPr>
            <w:tcW w:w="2943" w:type="pct"/>
            <w:gridSpan w:val="3"/>
            <w:vAlign w:val="center"/>
          </w:tcPr>
          <w:p w:rsidR="00530DDC" w:rsidRPr="00654A3D" w:rsidRDefault="00530DDC" w:rsidP="00810C05">
            <w:pPr>
              <w:spacing w:beforeLines="60" w:before="144" w:afterLines="60" w:after="144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color w:val="0D0D0D"/>
                <w:sz w:val="24"/>
              </w:rPr>
              <w:lastRenderedPageBreak/>
              <w:t>STANDARD 8: Monitorování a hodnocení</w:t>
            </w:r>
            <w:r w:rsidRPr="00BD5250">
              <w:rPr>
                <w:b/>
                <w:color w:val="0D0D0D"/>
                <w:sz w:val="24"/>
              </w:rPr>
              <w:br/>
            </w:r>
            <w:r w:rsidRPr="00BD5250">
              <w:rPr>
                <w:sz w:val="20"/>
              </w:rPr>
              <w:t>Zdravotnická organizace v pravidelných intervalech monitoruje a hodnotí implementaci všech standardů asociace Global.</w:t>
            </w:r>
          </w:p>
        </w:tc>
        <w:tc>
          <w:tcPr>
            <w:tcW w:w="1030" w:type="pct"/>
            <w:gridSpan w:val="4"/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>SEBEHODNOCENÍ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0 = Ne / není implementováno</w:t>
            </w:r>
            <w:r w:rsidRPr="00BD5250">
              <w:rPr>
                <w:i/>
                <w:sz w:val="16"/>
              </w:rPr>
              <w:br/>
              <w:t>1 = Implementováno méně než z poloviny</w:t>
            </w:r>
            <w:r w:rsidRPr="00BD5250">
              <w:rPr>
                <w:i/>
                <w:sz w:val="16"/>
              </w:rPr>
              <w:br/>
              <w:t>2 = Implementováno více než z poloviny</w:t>
            </w:r>
            <w:r w:rsidRPr="00BD5250">
              <w:rPr>
                <w:i/>
                <w:sz w:val="16"/>
              </w:rPr>
              <w:br/>
              <w:t>3 = Ano / plně implementováno</w:t>
            </w:r>
          </w:p>
        </w:tc>
        <w:tc>
          <w:tcPr>
            <w:tcW w:w="1027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30DDC" w:rsidRPr="00BD5250" w:rsidTr="00B8546C">
        <w:trPr>
          <w:trHeight w:val="60"/>
          <w:tblHeader/>
        </w:trPr>
        <w:tc>
          <w:tcPr>
            <w:tcW w:w="1818" w:type="pct"/>
            <w:gridSpan w:val="2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sz w:val="18"/>
                <w:szCs w:val="18"/>
                <w:lang w:val="en-IE"/>
              </w:rPr>
            </w:pPr>
            <w:r w:rsidRPr="00BD5250">
              <w:rPr>
                <w:b/>
                <w:sz w:val="18"/>
              </w:rPr>
              <w:t>KRITÉRIA IMPLEMENTACE</w:t>
            </w:r>
          </w:p>
        </w:tc>
        <w:tc>
          <w:tcPr>
            <w:tcW w:w="1125" w:type="pct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i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ÚVAHA </w:t>
            </w:r>
            <w:r w:rsidRPr="00BD5250">
              <w:rPr>
                <w:b/>
                <w:sz w:val="18"/>
              </w:rPr>
              <w:br/>
              <w:t xml:space="preserve">Shrnutí současného stavu </w:t>
            </w:r>
            <w:r w:rsidRPr="00BD5250">
              <w:rPr>
                <w:b/>
                <w:sz w:val="18"/>
              </w:rPr>
              <w:br/>
            </w:r>
            <w:r w:rsidRPr="00BD5250">
              <w:rPr>
                <w:i/>
                <w:sz w:val="16"/>
              </w:rPr>
              <w:t>(Popište současný stav pro každé kritérium implementace. Díky tomu získáte kontext pro plánované postupy na příštích 12 měsíců</w:t>
            </w:r>
            <w:r>
              <w:rPr>
                <w:i/>
                <w:sz w:val="16"/>
              </w:rPr>
              <w:t>.</w:t>
            </w:r>
            <w:r w:rsidRPr="00BD5250">
              <w:rPr>
                <w:i/>
                <w:sz w:val="16"/>
              </w:rPr>
              <w:t>)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0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1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2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3</w:t>
            </w:r>
          </w:p>
        </w:tc>
        <w:tc>
          <w:tcPr>
            <w:tcW w:w="1027" w:type="pct"/>
          </w:tcPr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PRIORITY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>Shrňte opatření vyplývající z procesu hodnocení pro každé kritérium</w:t>
            </w:r>
            <w:r>
              <w:rPr>
                <w:b/>
                <w:sz w:val="18"/>
              </w:rPr>
              <w:t>.</w:t>
            </w:r>
          </w:p>
          <w:p w:rsidR="00530DDC" w:rsidRPr="00BD5250" w:rsidRDefault="00530DDC" w:rsidP="00767388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i/>
                <w:sz w:val="18"/>
              </w:rPr>
              <w:t>(Díky tomu získáte podklady pro podrobnější plánování</w:t>
            </w:r>
            <w:r>
              <w:rPr>
                <w:i/>
                <w:sz w:val="18"/>
              </w:rPr>
              <w:t>.</w:t>
            </w:r>
            <w:r w:rsidRPr="00BD5250">
              <w:rPr>
                <w:i/>
                <w:sz w:val="18"/>
              </w:rPr>
              <w:t>)</w:t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530DDC" w:rsidRPr="00BD5250" w:rsidRDefault="00530DDC" w:rsidP="00810C05">
            <w:pPr>
              <w:numPr>
                <w:ilvl w:val="1"/>
                <w:numId w:val="27"/>
              </w:numPr>
              <w:spacing w:beforeLines="60" w:before="144" w:afterLines="60" w:after="144" w:line="240" w:lineRule="auto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procesy pro interní a externí posuzování umožňující sledovat provádění všech standardů a zohledňuje zpětnou vazbu od pracovníků a uživatelů služeb.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color w:val="222222"/>
                <w:sz w:val="18"/>
                <w:szCs w:val="16"/>
                <w:shd w:val="clear" w:color="auto" w:fill="FFFFFF"/>
              </w:rPr>
            </w:pPr>
            <w:r w:rsidRPr="00BD5250">
              <w:rPr>
                <w:sz w:val="18"/>
              </w:rPr>
              <w:t>Existuje interní proces zajišťující přezkoumání provádění stanovených standardů alespoň jednou ročně.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Del="00400DC3" w:rsidRDefault="00530DDC" w:rsidP="00810C05">
            <w:p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Při přezkoumávání se zohledňuje zpětná vazba od uživatelů služeb a pracovníků.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4"/>
              </w:numPr>
              <w:spacing w:beforeLines="20" w:before="48" w:afterLines="20" w:after="48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se účastní činností souvisejících s externím posuzováním.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 w:val="restart"/>
          </w:tcPr>
          <w:p w:rsidR="00530DDC" w:rsidRPr="00BD5250" w:rsidRDefault="00530DDC" w:rsidP="00810C05">
            <w:pPr>
              <w:numPr>
                <w:ilvl w:val="1"/>
                <w:numId w:val="28"/>
              </w:numPr>
              <w:spacing w:beforeLines="60" w:before="144" w:afterLines="60" w:after="144" w:line="240" w:lineRule="auto"/>
              <w:ind w:left="357" w:hanging="357"/>
              <w:rPr>
                <w:sz w:val="18"/>
                <w:szCs w:val="16"/>
              </w:rPr>
            </w:pPr>
            <w:r w:rsidRPr="00BD5250">
              <w:rPr>
                <w:sz w:val="18"/>
              </w:rPr>
              <w:t>Zdravotnická organizace má procesy umožňující shromažďovat hlavní údaje, včetně výsledků interního auditu, které pak slouží jako vstupní informace pro roční akční plán a k</w:t>
            </w:r>
            <w:r>
              <w:rPr>
                <w:sz w:val="18"/>
              </w:rPr>
              <w:t>e</w:t>
            </w:r>
            <w:r w:rsidRPr="00BD5250">
              <w:rPr>
                <w:sz w:val="18"/>
              </w:rPr>
              <w:t xml:space="preserve"> zlepšování kvality.</w:t>
            </w: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r w:rsidRPr="00BD5250">
              <w:rPr>
                <w:sz w:val="18"/>
              </w:rPr>
              <w:t>Existují procesy shromažďování údajů, včetně interního auditu, s</w:t>
            </w:r>
            <w:r w:rsidR="00810C05">
              <w:rPr>
                <w:sz w:val="18"/>
              </w:rPr>
              <w:t> </w:t>
            </w:r>
            <w:r w:rsidRPr="00BD5250">
              <w:rPr>
                <w:sz w:val="18"/>
              </w:rPr>
              <w:t>cílem sledovat provádění politiky nekuřáctví.</w:t>
            </w:r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802"/>
        </w:trPr>
        <w:tc>
          <w:tcPr>
            <w:tcW w:w="880" w:type="pct"/>
            <w:vMerge/>
          </w:tcPr>
          <w:p w:rsidR="00530DDC" w:rsidRPr="00BD5250" w:rsidRDefault="00530DDC" w:rsidP="00810C05">
            <w:pPr>
              <w:numPr>
                <w:ilvl w:val="1"/>
                <w:numId w:val="25"/>
              </w:numPr>
              <w:spacing w:beforeLines="20" w:before="48" w:afterLines="20" w:after="48" w:line="240" w:lineRule="auto"/>
              <w:ind w:left="357" w:hanging="357"/>
              <w:rPr>
                <w:rFonts w:cs="Arial"/>
                <w:sz w:val="16"/>
                <w:szCs w:val="16"/>
              </w:rPr>
            </w:pPr>
          </w:p>
        </w:tc>
        <w:tc>
          <w:tcPr>
            <w:tcW w:w="938" w:type="pct"/>
          </w:tcPr>
          <w:p w:rsidR="00530DDC" w:rsidRPr="00BD5250" w:rsidRDefault="00530DDC" w:rsidP="00810C05">
            <w:pPr>
              <w:numPr>
                <w:ilvl w:val="2"/>
                <w:numId w:val="27"/>
              </w:numPr>
              <w:spacing w:beforeLines="60" w:before="144" w:afterLines="60" w:after="144" w:line="240" w:lineRule="auto"/>
              <w:ind w:left="484" w:hanging="484"/>
              <w:rPr>
                <w:rFonts w:cs="Arial"/>
                <w:sz w:val="18"/>
                <w:szCs w:val="16"/>
              </w:rPr>
            </w:pPr>
            <w:bookmarkStart w:id="0" w:name="_GoBack"/>
            <w:r w:rsidRPr="00BD5250">
              <w:rPr>
                <w:sz w:val="18"/>
              </w:rPr>
              <w:t>Shromážděné údaje slouží ke zlepšení provádění a ročního akčního plánu politiky nekuřáctví.</w:t>
            </w:r>
            <w:bookmarkEnd w:id="0"/>
          </w:p>
        </w:tc>
        <w:tc>
          <w:tcPr>
            <w:tcW w:w="1125" w:type="pct"/>
          </w:tcPr>
          <w:p w:rsidR="00530DDC" w:rsidRPr="00094C4C" w:rsidRDefault="00530DDC" w:rsidP="00810C05">
            <w:pPr>
              <w:pStyle w:val="CommentText"/>
              <w:spacing w:beforeLines="20" w:before="48" w:afterLines="20" w:after="48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631654">
              <w:rPr>
                <w:lang w:val="cs-CZ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31654">
              <w:rPr>
                <w:lang w:val="cs-CZ" w:eastAsia="en-US"/>
              </w:rPr>
              <w:instrText xml:space="preserve"> FORMTEXT </w:instrText>
            </w:r>
            <w:r w:rsidRPr="00631654">
              <w:rPr>
                <w:lang w:val="cs-CZ" w:eastAsia="en-US"/>
              </w:rPr>
            </w:r>
            <w:r w:rsidRPr="00631654">
              <w:rPr>
                <w:lang w:val="cs-CZ" w:eastAsia="en-US"/>
              </w:rPr>
              <w:fldChar w:fldCharType="separate"/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noProof/>
                <w:lang w:val="cs-CZ" w:eastAsia="en-US"/>
              </w:rPr>
              <w:t> </w:t>
            </w:r>
            <w:r w:rsidRPr="00631654">
              <w:rPr>
                <w:lang w:val="cs-CZ" w:eastAsia="en-US"/>
              </w:rPr>
              <w:fldChar w:fldCharType="end"/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37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76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280" w:type="pct"/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8"/>
                <w:szCs w:val="18"/>
                <w:lang w:val="en-US"/>
              </w:rPr>
            </w:pPr>
            <w:r w:rsidRPr="00BD5250">
              <w:rPr>
                <w:rFonts w:ascii="MS Gothic" w:eastAsia="MS Gothic" w:hAnsi="MS Gothic" w:cs="MS Gothic" w:hint="eastAsia"/>
                <w:sz w:val="28"/>
              </w:rPr>
              <w:t>☐</w:t>
            </w:r>
            <w:r w:rsidRPr="00BD5250">
              <w:rPr>
                <w:sz w:val="28"/>
              </w:rPr>
              <w:t xml:space="preserve">   </w:t>
            </w:r>
          </w:p>
        </w:tc>
        <w:tc>
          <w:tcPr>
            <w:tcW w:w="1027" w:type="pct"/>
          </w:tcPr>
          <w:p w:rsidR="00530DDC" w:rsidRPr="00BD5250" w:rsidRDefault="00530DDC" w:rsidP="003A73F0">
            <w:pPr>
              <w:spacing w:before="60" w:after="60" w:line="240" w:lineRule="auto"/>
              <w:rPr>
                <w:rFonts w:cs="Arial"/>
                <w:sz w:val="28"/>
                <w:szCs w:val="20"/>
              </w:rPr>
            </w:pPr>
            <w:r w:rsidRPr="00BD525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instrText xml:space="preserve"> FORMTEXT </w:instrText>
            </w:r>
            <w:r w:rsidRPr="00BD5250">
              <w:fldChar w:fldCharType="separate"/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rPr>
                <w:noProof/>
              </w:rPr>
              <w:t> </w:t>
            </w:r>
            <w:r w:rsidRPr="00BD5250">
              <w:fldChar w:fldCharType="end"/>
            </w: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654A3D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</w:rPr>
            </w:pPr>
            <w:r w:rsidRPr="00BD5250">
              <w:rPr>
                <w:b/>
                <w:sz w:val="18"/>
              </w:rPr>
              <w:t xml:space="preserve">Mezisoučet skóre pro Standard 8: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sz w:val="20"/>
              </w:rPr>
              <w:t xml:space="preserve"> </w:t>
            </w:r>
            <w:r w:rsidRPr="00BD5250">
              <w:rPr>
                <w:i/>
                <w:sz w:val="18"/>
              </w:rPr>
              <w:t>(Maximální možné skóre: 15)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30DDC" w:rsidRPr="00BD5250" w:rsidTr="00B8546C">
        <w:trPr>
          <w:trHeight w:val="496"/>
        </w:trPr>
        <w:tc>
          <w:tcPr>
            <w:tcW w:w="2943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b/>
                <w:sz w:val="18"/>
              </w:rPr>
              <w:t xml:space="preserve">CELKEM: </w:t>
            </w: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  <w:r w:rsidRPr="00BD5250">
              <w:rPr>
                <w:b/>
                <w:sz w:val="20"/>
              </w:rPr>
              <w:t xml:space="preserve"> / 144 </w:t>
            </w:r>
            <w:r w:rsidRPr="00BD5250">
              <w:rPr>
                <w:b/>
                <w:i/>
                <w:sz w:val="18"/>
              </w:rPr>
              <w:t>(Maximální možné skóre: 144)</w:t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7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2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BD5250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5250">
              <w:rPr>
                <w:sz w:val="20"/>
              </w:rPr>
              <w:instrText xml:space="preserve"> FORMTEXT </w:instrText>
            </w:r>
            <w:r w:rsidRPr="00BD5250">
              <w:rPr>
                <w:sz w:val="20"/>
              </w:rPr>
            </w:r>
            <w:r w:rsidRPr="00BD5250">
              <w:rPr>
                <w:sz w:val="20"/>
              </w:rPr>
              <w:fldChar w:fldCharType="separate"/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noProof/>
                <w:sz w:val="20"/>
              </w:rPr>
              <w:t> </w:t>
            </w:r>
            <w:r w:rsidRPr="00BD5250">
              <w:rPr>
                <w:sz w:val="20"/>
              </w:rPr>
              <w:fldChar w:fldCharType="end"/>
            </w:r>
          </w:p>
        </w:tc>
        <w:tc>
          <w:tcPr>
            <w:tcW w:w="1027" w:type="pct"/>
            <w:tcBorders>
              <w:top w:val="single" w:sz="12" w:space="0" w:color="auto"/>
              <w:bottom w:val="single" w:sz="12" w:space="0" w:color="auto"/>
            </w:tcBorders>
          </w:tcPr>
          <w:p w:rsidR="00530DDC" w:rsidRPr="00BD5250" w:rsidRDefault="00530DDC" w:rsidP="008D744D">
            <w:pPr>
              <w:spacing w:before="60" w:after="6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530DDC" w:rsidRPr="00631654" w:rsidRDefault="00530DDC" w:rsidP="00631654">
      <w:pPr>
        <w:spacing w:after="120" w:line="240" w:lineRule="auto"/>
        <w:rPr>
          <w:rFonts w:cs="Arial"/>
          <w:sz w:val="20"/>
          <w:szCs w:val="20"/>
        </w:rPr>
      </w:pPr>
    </w:p>
    <w:sectPr w:rsidR="00530DDC" w:rsidRPr="00631654" w:rsidSect="00DE58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30C" w:rsidRDefault="0012130C" w:rsidP="00DE580B">
      <w:pPr>
        <w:spacing w:after="0" w:line="240" w:lineRule="auto"/>
      </w:pPr>
      <w:r>
        <w:separator/>
      </w:r>
    </w:p>
  </w:endnote>
  <w:endnote w:type="continuationSeparator" w:id="0">
    <w:p w:rsidR="0012130C" w:rsidRDefault="0012130C" w:rsidP="00DE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30C" w:rsidRDefault="0012130C" w:rsidP="00DE580B">
      <w:pPr>
        <w:spacing w:after="0" w:line="240" w:lineRule="auto"/>
      </w:pPr>
      <w:r>
        <w:separator/>
      </w:r>
    </w:p>
  </w:footnote>
  <w:footnote w:type="continuationSeparator" w:id="0">
    <w:p w:rsidR="0012130C" w:rsidRDefault="0012130C" w:rsidP="00DE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E12" w:rsidRPr="00DE580B" w:rsidRDefault="00907E12" w:rsidP="00DE580B">
    <w:pPr>
      <w:pStyle w:val="Header"/>
      <w:tabs>
        <w:tab w:val="clear" w:pos="4513"/>
        <w:tab w:val="left" w:pos="11252"/>
      </w:tabs>
      <w:rPr>
        <w:b/>
        <w:bCs/>
        <w:color w:val="40404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8058150</wp:posOffset>
          </wp:positionH>
          <wp:positionV relativeFrom="paragraph">
            <wp:posOffset>-349250</wp:posOffset>
          </wp:positionV>
          <wp:extent cx="1676400" cy="55562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5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404040"/>
        <w:sz w:val="28"/>
      </w:rPr>
      <w:t>Dotazník pro sebehodnocení a šablona pro plánování Global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BF2"/>
    <w:multiLevelType w:val="multilevel"/>
    <w:tmpl w:val="E24AD1D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A8318A"/>
    <w:multiLevelType w:val="hybridMultilevel"/>
    <w:tmpl w:val="4F9EC5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5370"/>
    <w:multiLevelType w:val="multilevel"/>
    <w:tmpl w:val="AAA4FCB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130D0AFC"/>
    <w:multiLevelType w:val="hybridMultilevel"/>
    <w:tmpl w:val="B5C4D5D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AD3150"/>
    <w:multiLevelType w:val="hybridMultilevel"/>
    <w:tmpl w:val="1CFC6F1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351C"/>
    <w:multiLevelType w:val="hybridMultilevel"/>
    <w:tmpl w:val="504CCA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40E4"/>
    <w:multiLevelType w:val="hybridMultilevel"/>
    <w:tmpl w:val="C4F2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49338">
      <w:numFmt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1C5"/>
    <w:multiLevelType w:val="hybridMultilevel"/>
    <w:tmpl w:val="74E88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65BD0">
      <w:numFmt w:val="bullet"/>
      <w:lvlText w:val="-"/>
      <w:lvlJc w:val="left"/>
      <w:pPr>
        <w:ind w:left="1800" w:hanging="720"/>
      </w:pPr>
      <w:rPr>
        <w:rFonts w:ascii="Calibri" w:eastAsia="Times New Roman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8DE"/>
    <w:multiLevelType w:val="multilevel"/>
    <w:tmpl w:val="7842EBB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20C85811"/>
    <w:multiLevelType w:val="hybridMultilevel"/>
    <w:tmpl w:val="B68A3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36FA"/>
    <w:multiLevelType w:val="multilevel"/>
    <w:tmpl w:val="59BCDC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75F22CB"/>
    <w:multiLevelType w:val="hybridMultilevel"/>
    <w:tmpl w:val="07F46C08"/>
    <w:lvl w:ilvl="0" w:tplc="DABE3FA6">
      <w:numFmt w:val="bullet"/>
      <w:lvlText w:val="•"/>
      <w:lvlJc w:val="left"/>
      <w:pPr>
        <w:ind w:left="720" w:hanging="720"/>
      </w:pPr>
      <w:rPr>
        <w:rFonts w:ascii="Calibri" w:eastAsia="PMingLiU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22DCF"/>
    <w:multiLevelType w:val="multilevel"/>
    <w:tmpl w:val="A5E6167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B751EE"/>
    <w:multiLevelType w:val="hybridMultilevel"/>
    <w:tmpl w:val="AEC2BC74"/>
    <w:lvl w:ilvl="0" w:tplc="4B9AB36C">
      <w:numFmt w:val="bullet"/>
      <w:lvlText w:val="-"/>
      <w:lvlJc w:val="left"/>
      <w:pPr>
        <w:ind w:left="420" w:hanging="360"/>
      </w:pPr>
      <w:rPr>
        <w:rFonts w:ascii="Arial" w:eastAsia="PMingLiU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5198E"/>
    <w:multiLevelType w:val="hybridMultilevel"/>
    <w:tmpl w:val="635C224A"/>
    <w:lvl w:ilvl="0" w:tplc="0C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5" w15:restartNumberingAfterBreak="0">
    <w:nsid w:val="372413A2"/>
    <w:multiLevelType w:val="hybridMultilevel"/>
    <w:tmpl w:val="6414B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A7EDA"/>
    <w:multiLevelType w:val="multilevel"/>
    <w:tmpl w:val="8EFE36BA"/>
    <w:lvl w:ilvl="0">
      <w:start w:val="7"/>
      <w:numFmt w:val="decimal"/>
      <w:lvlText w:val="%1."/>
      <w:lvlJc w:val="left"/>
      <w:pPr>
        <w:ind w:left="405" w:hanging="405"/>
      </w:pPr>
      <w:rPr>
        <w:rFonts w:cs="Times New Roman" w:hint="default"/>
        <w:sz w:val="18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cs="Times New Roman" w:hint="default"/>
        <w:sz w:val="18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  <w:sz w:val="18"/>
      </w:rPr>
    </w:lvl>
  </w:abstractNum>
  <w:abstractNum w:abstractNumId="17" w15:restartNumberingAfterBreak="0">
    <w:nsid w:val="44B62DFC"/>
    <w:multiLevelType w:val="multilevel"/>
    <w:tmpl w:val="D818A8F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E6C4F36"/>
    <w:multiLevelType w:val="hybridMultilevel"/>
    <w:tmpl w:val="33524B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60E44"/>
    <w:multiLevelType w:val="multilevel"/>
    <w:tmpl w:val="E52C466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1FD13B5"/>
    <w:multiLevelType w:val="multilevel"/>
    <w:tmpl w:val="679404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 w15:restartNumberingAfterBreak="0">
    <w:nsid w:val="5296111B"/>
    <w:multiLevelType w:val="hybridMultilevel"/>
    <w:tmpl w:val="C136AC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0B12"/>
    <w:multiLevelType w:val="multilevel"/>
    <w:tmpl w:val="B448A3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5673354C"/>
    <w:multiLevelType w:val="hybridMultilevel"/>
    <w:tmpl w:val="E02804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C5772"/>
    <w:multiLevelType w:val="hybridMultilevel"/>
    <w:tmpl w:val="DDB86B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DC5CB5"/>
    <w:multiLevelType w:val="multilevel"/>
    <w:tmpl w:val="9B7C6AE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638D5C81"/>
    <w:multiLevelType w:val="multilevel"/>
    <w:tmpl w:val="49F0CF0C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6632583F"/>
    <w:multiLevelType w:val="multilevel"/>
    <w:tmpl w:val="9F4CD2F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 w15:restartNumberingAfterBreak="0">
    <w:nsid w:val="678B075E"/>
    <w:multiLevelType w:val="hybridMultilevel"/>
    <w:tmpl w:val="8970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1D4F"/>
    <w:multiLevelType w:val="multilevel"/>
    <w:tmpl w:val="C298B52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EBA7965"/>
    <w:multiLevelType w:val="hybridMultilevel"/>
    <w:tmpl w:val="E480AFBA"/>
    <w:lvl w:ilvl="0" w:tplc="DABE3FA6">
      <w:numFmt w:val="bullet"/>
      <w:lvlText w:val="•"/>
      <w:lvlJc w:val="left"/>
      <w:pPr>
        <w:ind w:left="1080" w:hanging="720"/>
      </w:pPr>
      <w:rPr>
        <w:rFonts w:ascii="Calibri" w:eastAsia="PMingLiU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4"/>
  </w:num>
  <w:num w:numId="4">
    <w:abstractNumId w:val="15"/>
  </w:num>
  <w:num w:numId="5">
    <w:abstractNumId w:val="22"/>
  </w:num>
  <w:num w:numId="6">
    <w:abstractNumId w:val="28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4"/>
  </w:num>
  <w:num w:numId="15">
    <w:abstractNumId w:val="21"/>
  </w:num>
  <w:num w:numId="16">
    <w:abstractNumId w:val="20"/>
  </w:num>
  <w:num w:numId="17">
    <w:abstractNumId w:val="2"/>
  </w:num>
  <w:num w:numId="18">
    <w:abstractNumId w:val="23"/>
  </w:num>
  <w:num w:numId="19">
    <w:abstractNumId w:val="30"/>
  </w:num>
  <w:num w:numId="20">
    <w:abstractNumId w:val="11"/>
  </w:num>
  <w:num w:numId="21">
    <w:abstractNumId w:val="12"/>
  </w:num>
  <w:num w:numId="22">
    <w:abstractNumId w:val="17"/>
  </w:num>
  <w:num w:numId="23">
    <w:abstractNumId w:val="27"/>
  </w:num>
  <w:num w:numId="24">
    <w:abstractNumId w:val="29"/>
  </w:num>
  <w:num w:numId="25">
    <w:abstractNumId w:val="10"/>
  </w:num>
  <w:num w:numId="26">
    <w:abstractNumId w:val="16"/>
  </w:num>
  <w:num w:numId="27">
    <w:abstractNumId w:val="19"/>
  </w:num>
  <w:num w:numId="28">
    <w:abstractNumId w:val="26"/>
  </w:num>
  <w:num w:numId="29">
    <w:abstractNumId w:val="13"/>
  </w:num>
  <w:num w:numId="30">
    <w:abstractNumId w:val="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rI0MDc3MDQyMDM0MbdU0lEKTi0uzszPAykwqwUAVnIgdywAAAA="/>
  </w:docVars>
  <w:rsids>
    <w:rsidRoot w:val="00DE580B"/>
    <w:rsid w:val="00047B0D"/>
    <w:rsid w:val="00084108"/>
    <w:rsid w:val="000847ED"/>
    <w:rsid w:val="0008511A"/>
    <w:rsid w:val="00094C4C"/>
    <w:rsid w:val="000B6348"/>
    <w:rsid w:val="000E2AF8"/>
    <w:rsid w:val="000E6CB4"/>
    <w:rsid w:val="001071DE"/>
    <w:rsid w:val="00110FB1"/>
    <w:rsid w:val="0012130C"/>
    <w:rsid w:val="001E3079"/>
    <w:rsid w:val="002002A1"/>
    <w:rsid w:val="00204F69"/>
    <w:rsid w:val="00244B74"/>
    <w:rsid w:val="00250DC1"/>
    <w:rsid w:val="0028451F"/>
    <w:rsid w:val="002B352F"/>
    <w:rsid w:val="002E40CA"/>
    <w:rsid w:val="0030223A"/>
    <w:rsid w:val="00362F9C"/>
    <w:rsid w:val="00394F9D"/>
    <w:rsid w:val="003A73F0"/>
    <w:rsid w:val="003B278A"/>
    <w:rsid w:val="003D42BC"/>
    <w:rsid w:val="003E3BF8"/>
    <w:rsid w:val="003F2E09"/>
    <w:rsid w:val="00400DC3"/>
    <w:rsid w:val="00420AA2"/>
    <w:rsid w:val="00421857"/>
    <w:rsid w:val="00441E28"/>
    <w:rsid w:val="00441F85"/>
    <w:rsid w:val="004667FF"/>
    <w:rsid w:val="00471574"/>
    <w:rsid w:val="004725C5"/>
    <w:rsid w:val="004806B8"/>
    <w:rsid w:val="00485E2E"/>
    <w:rsid w:val="004B0A73"/>
    <w:rsid w:val="004B42CF"/>
    <w:rsid w:val="004B52C5"/>
    <w:rsid w:val="004D008E"/>
    <w:rsid w:val="004D163E"/>
    <w:rsid w:val="00522D19"/>
    <w:rsid w:val="00530DDC"/>
    <w:rsid w:val="00583991"/>
    <w:rsid w:val="005B45B2"/>
    <w:rsid w:val="00604FCC"/>
    <w:rsid w:val="00631654"/>
    <w:rsid w:val="00654A3D"/>
    <w:rsid w:val="006A328D"/>
    <w:rsid w:val="006B6244"/>
    <w:rsid w:val="006E2DDC"/>
    <w:rsid w:val="006F1558"/>
    <w:rsid w:val="00704CA9"/>
    <w:rsid w:val="007132A6"/>
    <w:rsid w:val="00716DFA"/>
    <w:rsid w:val="00721BF0"/>
    <w:rsid w:val="0074436A"/>
    <w:rsid w:val="00767388"/>
    <w:rsid w:val="00774BB8"/>
    <w:rsid w:val="007A029A"/>
    <w:rsid w:val="007A0392"/>
    <w:rsid w:val="007A561D"/>
    <w:rsid w:val="007D770D"/>
    <w:rsid w:val="007E6836"/>
    <w:rsid w:val="007F4FB8"/>
    <w:rsid w:val="00810C05"/>
    <w:rsid w:val="00813E90"/>
    <w:rsid w:val="00827E8F"/>
    <w:rsid w:val="00840A32"/>
    <w:rsid w:val="00855FDB"/>
    <w:rsid w:val="00861A64"/>
    <w:rsid w:val="008B4F4C"/>
    <w:rsid w:val="008C49E0"/>
    <w:rsid w:val="008C548C"/>
    <w:rsid w:val="008D4DBC"/>
    <w:rsid w:val="008D5FC5"/>
    <w:rsid w:val="008D744D"/>
    <w:rsid w:val="008E3068"/>
    <w:rsid w:val="009048FE"/>
    <w:rsid w:val="00907E12"/>
    <w:rsid w:val="00930B11"/>
    <w:rsid w:val="009526C4"/>
    <w:rsid w:val="009534EB"/>
    <w:rsid w:val="009842A9"/>
    <w:rsid w:val="009B53D8"/>
    <w:rsid w:val="009C0A14"/>
    <w:rsid w:val="009D2117"/>
    <w:rsid w:val="009F6491"/>
    <w:rsid w:val="00A110DB"/>
    <w:rsid w:val="00A20435"/>
    <w:rsid w:val="00A237F0"/>
    <w:rsid w:val="00A36702"/>
    <w:rsid w:val="00A608AD"/>
    <w:rsid w:val="00A62654"/>
    <w:rsid w:val="00A66D2C"/>
    <w:rsid w:val="00A74B91"/>
    <w:rsid w:val="00A82D76"/>
    <w:rsid w:val="00A90BC5"/>
    <w:rsid w:val="00AA6F96"/>
    <w:rsid w:val="00AE6255"/>
    <w:rsid w:val="00B05690"/>
    <w:rsid w:val="00B05FE5"/>
    <w:rsid w:val="00B61740"/>
    <w:rsid w:val="00B74340"/>
    <w:rsid w:val="00B8546C"/>
    <w:rsid w:val="00BD03F2"/>
    <w:rsid w:val="00BD5250"/>
    <w:rsid w:val="00BD6AF5"/>
    <w:rsid w:val="00C42F4F"/>
    <w:rsid w:val="00C4698E"/>
    <w:rsid w:val="00C90EAB"/>
    <w:rsid w:val="00CA0704"/>
    <w:rsid w:val="00CB38E0"/>
    <w:rsid w:val="00CF757F"/>
    <w:rsid w:val="00D23DEC"/>
    <w:rsid w:val="00D24EF8"/>
    <w:rsid w:val="00D33F56"/>
    <w:rsid w:val="00D85B01"/>
    <w:rsid w:val="00DB12BA"/>
    <w:rsid w:val="00DB4ED8"/>
    <w:rsid w:val="00DC15CE"/>
    <w:rsid w:val="00DC41EF"/>
    <w:rsid w:val="00DD3B58"/>
    <w:rsid w:val="00DE580B"/>
    <w:rsid w:val="00E004CC"/>
    <w:rsid w:val="00E0119A"/>
    <w:rsid w:val="00E63127"/>
    <w:rsid w:val="00E7153D"/>
    <w:rsid w:val="00EC6DC3"/>
    <w:rsid w:val="00ED6981"/>
    <w:rsid w:val="00EE56AB"/>
    <w:rsid w:val="00EE7E2D"/>
    <w:rsid w:val="00F019D3"/>
    <w:rsid w:val="00F24808"/>
    <w:rsid w:val="00F2655B"/>
    <w:rsid w:val="00F4340D"/>
    <w:rsid w:val="00F45222"/>
    <w:rsid w:val="00F74882"/>
    <w:rsid w:val="00F77ECA"/>
    <w:rsid w:val="00F93155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D0B648"/>
  <w15:docId w15:val="{0A0236E4-ECF6-47F1-9CF7-AE9F03F9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C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A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704CA9"/>
    <w:pPr>
      <w:spacing w:before="150" w:after="150" w:line="240" w:lineRule="auto"/>
      <w:outlineLvl w:val="1"/>
    </w:pPr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A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4CA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04CA9"/>
    <w:rPr>
      <w:rFonts w:ascii="Helvetica" w:hAnsi="Helvetica" w:cs="Helvetica"/>
      <w:b/>
      <w:bCs/>
      <w:color w:val="4A4A4A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4CA9"/>
    <w:rPr>
      <w:rFonts w:ascii="Cambria" w:hAnsi="Cambria" w:cs="Times New Roman"/>
      <w:b/>
      <w:bCs/>
      <w:color w:val="4F81BD"/>
    </w:rPr>
  </w:style>
  <w:style w:type="paragraph" w:styleId="TOC2">
    <w:name w:val="toc 2"/>
    <w:basedOn w:val="Normal"/>
    <w:next w:val="Normal"/>
    <w:autoRedefine/>
    <w:uiPriority w:val="99"/>
    <w:rsid w:val="00244B74"/>
    <w:pPr>
      <w:tabs>
        <w:tab w:val="left" w:pos="1418"/>
        <w:tab w:val="left" w:pos="2325"/>
        <w:tab w:val="right" w:leader="dot" w:pos="9072"/>
      </w:tabs>
      <w:spacing w:before="120" w:after="0"/>
      <w:ind w:left="1440" w:hanging="720"/>
    </w:pPr>
    <w:rPr>
      <w:rFonts w:ascii="Arial" w:eastAsia="Times New Roman" w:hAnsi="Arial" w:cs="Times"/>
      <w:b/>
      <w:noProof/>
      <w:szCs w:val="26"/>
      <w:lang w:eastAsia="en-AU"/>
    </w:rPr>
  </w:style>
  <w:style w:type="character" w:styleId="Strong">
    <w:name w:val="Strong"/>
    <w:basedOn w:val="DefaultParagraphFont"/>
    <w:uiPriority w:val="99"/>
    <w:qFormat/>
    <w:rsid w:val="00704CA9"/>
    <w:rPr>
      <w:rFonts w:cs="Times New Roman"/>
      <w:b/>
      <w:bCs/>
    </w:rPr>
  </w:style>
  <w:style w:type="paragraph" w:styleId="NoSpacing">
    <w:name w:val="No Spacing"/>
    <w:uiPriority w:val="99"/>
    <w:qFormat/>
    <w:rsid w:val="00704CA9"/>
    <w:rPr>
      <w:lang w:eastAsia="en-US"/>
    </w:rPr>
  </w:style>
  <w:style w:type="paragraph" w:styleId="ListParagraph">
    <w:name w:val="List Paragraph"/>
    <w:basedOn w:val="Normal"/>
    <w:uiPriority w:val="99"/>
    <w:qFormat/>
    <w:rsid w:val="00704CA9"/>
    <w:pPr>
      <w:ind w:left="720"/>
      <w:contextualSpacing/>
    </w:pPr>
  </w:style>
  <w:style w:type="paragraph" w:styleId="Header">
    <w:name w:val="header"/>
    <w:aliases w:val="Char"/>
    <w:basedOn w:val="Normal"/>
    <w:link w:val="HeaderChar"/>
    <w:uiPriority w:val="99"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locked/>
    <w:rsid w:val="00DE58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5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58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E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580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580B"/>
    <w:rPr>
      <w:rFonts w:cs="Times New Roman"/>
      <w:color w:val="808080"/>
    </w:rPr>
  </w:style>
  <w:style w:type="paragraph" w:styleId="CommentText">
    <w:name w:val="annotation text"/>
    <w:basedOn w:val="Normal"/>
    <w:link w:val="CommentTextChar1"/>
    <w:uiPriority w:val="99"/>
    <w:semiHidden/>
    <w:rsid w:val="00250DC1"/>
    <w:pPr>
      <w:spacing w:after="0" w:line="240" w:lineRule="auto"/>
    </w:pPr>
    <w:rPr>
      <w:rFonts w:ascii="Times New Roman" w:eastAsia="PMingLiU" w:hAnsi="Times New Roman"/>
      <w:sz w:val="20"/>
      <w:szCs w:val="20"/>
      <w:lang w:val="en-US" w:eastAsia="cs-CZ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250DC1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250DC1"/>
    <w:rPr>
      <w:rFonts w:ascii="Times New Roman" w:eastAsia="PMingLiU" w:hAnsi="Times New Roman"/>
      <w:sz w:val="20"/>
      <w:lang w:val="en-US"/>
    </w:rPr>
  </w:style>
  <w:style w:type="character" w:customStyle="1" w:styleId="hps">
    <w:name w:val="hps"/>
    <w:basedOn w:val="DefaultParagraphFont"/>
    <w:uiPriority w:val="99"/>
    <w:rsid w:val="00F9315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D744D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744D"/>
    <w:pPr>
      <w:spacing w:after="200"/>
    </w:pPr>
    <w:rPr>
      <w:rFonts w:ascii="Calibri" w:eastAsia="Calibri" w:hAnsi="Calibri"/>
      <w:b/>
      <w:bCs/>
      <w:lang w:val="en-AU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8D744D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D85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3426</Words>
  <Characters>19530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STANDARD 1: Vedení a závazek</vt:lpstr>
      <vt:lpstr>STANDARD 1: Vedení a závazek</vt:lpstr>
    </vt:vector>
  </TitlesOfParts>
  <Company>MZČR</Company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1: Vedení a závazek</dc:title>
  <dc:creator>Grace Liong</dc:creator>
  <cp:lastModifiedBy>Ann ORiordan</cp:lastModifiedBy>
  <cp:revision>4</cp:revision>
  <cp:lastPrinted>2018-02-02T12:31:00Z</cp:lastPrinted>
  <dcterms:created xsi:type="dcterms:W3CDTF">2018-02-23T16:45:00Z</dcterms:created>
  <dcterms:modified xsi:type="dcterms:W3CDTF">2018-02-23T17:38:00Z</dcterms:modified>
</cp:coreProperties>
</file>